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3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Getting Your Data to Match the Map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In general, it is quite easy to overlay maps created from different datums.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The process of transforming all of your datums to match one measurement system is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georeferencing.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geodesy.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reprojection.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skewing.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On an older printed map, the zero reference point is usually found in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upper-right corner.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upper-left corner.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lower-right corner.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lower-left corner.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Georeferencing is the process of aligning an unreferenced data set with one that has spatial reference information.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Which of the following is NOT a synonym for georeferencing?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geometric transformation.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tessellation.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c. image-to-map rectification.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registration.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The common areas that tie unreferenced data to spatially referenced data are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control points.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skew points.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points of origin.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zero-line points.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Which of the following are least likely to be used as GCPs?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orthophotos.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road networks.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high-resolution images.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low-resolution satellite images.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In the georeferencing process, it is best if the source data use a similar projection to the unreferenced data.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All of the following are poor control-point selection choices EXCEPT: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center of a field.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intersection of roads.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shoreline of a beach.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a landscape display.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When selecting control points, it is best to cluster them in one area of the map.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In georeferencing, what is the minimum number of control points required to fit an unreferenced image to the source?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12. Which type of transformation entails pulling the image, often at a slant?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rotation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transition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differential scaling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skewing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Which type of transformation entails altering the location and placement of a map?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rotation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translation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differential scaling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skewing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The affine transformation is a first-order transformation.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In general, the higher the RMSE, the better the match between the unreferenced data and the source data.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Which of the following is not an example of an online resource for georeferenced historical maps?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David Rumsey Historical Map Collection.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New York Public Library Map Warper.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British Library Online Gallery.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Wikimapia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17.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On the fly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projection automatically and permanently transforms the base data to a common projection.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18. If you use a photo scanner to scan an old map, then open the image in a GIS with data for the same location, the image will: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a.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snap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to the correct location automatically.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not match up because it lacks any spatial reference.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float over the data until you assign a datum.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appear mirrored and upside-down.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Latitude and longitude can always be used to reference locations, even on data that has not yet been georeferenced.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Which of the following techniques can be used to identify GCPs?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Surveying in the field.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GPS measurements.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Matching locations on the image with an orthophoto.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All of the above.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Assuming your control points are well chosen, adding more points should: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improve the fit between the unreferenced data and the source.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improve the RMSE value by increasing it considerably.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decrease the fit between the unreferenced data and the source.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eliminate the RMSE entirely.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22. RMSE stands for: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referenced map source error.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b. Rumsey-Maynes signal error.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root mean square error.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d. resampling error.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During georeferencing, new locations for an image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pixels are calculated, and sometimes new pixel values are needed as well.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Georeferencing can be used for non-map data, including unreferenced drawings and plans.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Image-to-map rectification requires expensive software, usually not available to the public.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</w:pPr>
      <w:r>
        <w:rPr>
          <w:rFonts w:ascii="Trebuchet MS"/>
          <w:rtl w:val="0"/>
          <w:lang w:val="da-DK"/>
        </w:rPr>
        <w:t>b. False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